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eastAsia" w:ascii="Times New Roman" w:hAnsi="Times New Roman" w:eastAsia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姜堰区沈高镇人民政府公开招聘编外工作人员</w:t>
      </w:r>
    </w:p>
    <w:p>
      <w:pPr>
        <w:spacing w:line="600" w:lineRule="exact"/>
        <w:jc w:val="center"/>
        <w:rPr>
          <w:rFonts w:hint="default" w:ascii="Times New Roman" w:hAnsi="Times New Roman" w:eastAsia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专业参考目录</w:t>
      </w:r>
    </w:p>
    <w:p>
      <w:pPr>
        <w:spacing w:line="600" w:lineRule="exact"/>
        <w:jc w:val="center"/>
        <w:rPr>
          <w:rFonts w:hint="eastAsia" w:ascii="Times New Roman" w:hAnsi="Times New Roman" w:eastAsia="方正黑体简体"/>
          <w:sz w:val="32"/>
          <w:szCs w:val="32"/>
          <w:lang w:val="en-US" w:eastAsia="zh-CN"/>
        </w:rPr>
      </w:pPr>
    </w:p>
    <w:tbl>
      <w:tblPr>
        <w:tblStyle w:val="2"/>
        <w:tblW w:w="100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13"/>
        <w:gridCol w:w="6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6925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财政，财务信息管理，会计电算化，财务电算化，会计与统计核算，会计与审计，审计实务，统计实务，会计信息技术，涉外会计，财会，保险，税务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787B"/>
    <w:rsid w:val="10BF5002"/>
    <w:rsid w:val="607E787B"/>
    <w:rsid w:val="61B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2020-06-16T07:04:00Z</dcterms:created>
  <dc:creator>、信 者 得 愛</dc:creator>
  <cp:lastModifiedBy>、信 者 得 愛</cp:lastModifiedBy>
  <dcterms:modified xsi:type="dcterms:W3CDTF">2020-06-18T02:04:47Z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