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附件3：</w:t>
      </w:r>
    </w:p>
    <w:p>
      <w:pPr>
        <w:spacing w:line="600" w:lineRule="exact"/>
        <w:jc w:val="center"/>
        <w:rPr>
          <w:rFonts w:hint="eastAsia" w:ascii="Times New Roman" w:hAnsi="Times New Roman" w:eastAsia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姜堰区沈高镇人民政府公开补充</w:t>
      </w:r>
      <w:bookmarkStart w:id="0" w:name="_GoBack"/>
      <w:bookmarkEnd w:id="0"/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招聘编外工作人员</w:t>
      </w:r>
    </w:p>
    <w:p>
      <w:pPr>
        <w:spacing w:line="600" w:lineRule="exact"/>
        <w:jc w:val="center"/>
        <w:rPr>
          <w:rFonts w:hint="default" w:ascii="Times New Roman" w:hAnsi="Times New Roman" w:eastAsia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专业参考目录</w:t>
      </w:r>
    </w:p>
    <w:p>
      <w:pPr>
        <w:spacing w:line="600" w:lineRule="exact"/>
        <w:jc w:val="center"/>
        <w:rPr>
          <w:rFonts w:hint="eastAsia" w:ascii="Times New Roman" w:hAnsi="Times New Roman" w:eastAsia="方正黑体简体"/>
          <w:sz w:val="32"/>
          <w:szCs w:val="32"/>
          <w:lang w:val="en-US" w:eastAsia="zh-CN"/>
        </w:rPr>
      </w:pPr>
    </w:p>
    <w:tbl>
      <w:tblPr>
        <w:tblStyle w:val="3"/>
        <w:tblW w:w="100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13"/>
        <w:gridCol w:w="6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财政，财务信息管理，会计电算化，财务电算化，会计与统计核算，会计与审计，审计实务，统计实务，会计信息技术，涉外会计，财会，保险，税务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2020-06-16T15:04:00Z</dcterms:created>
  <dc:creator>、信 者 得 愛</dc:creator>
  <cp:lastModifiedBy>张文婷的 iPhone (2)</cp:lastModifiedBy>
  <dcterms:modified xsi:type="dcterms:W3CDTF">2020-07-16T18:20:44Z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</Properties>
</file>