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116"/>
        <w:gridCol w:w="1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1396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/>
                <w:sz w:val="30"/>
                <w:szCs w:val="30"/>
                <w:lang w:val="en-US" w:eastAsia="zh-CN"/>
              </w:rPr>
              <w:t>附件4：</w:t>
            </w:r>
          </w:p>
          <w:p>
            <w:pPr>
              <w:jc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lang w:val="en-US" w:eastAsia="zh-CN" w:bidi="ar-SA"/>
              </w:rPr>
              <w:t>2021年姜堰区部分高中校园公开招聘紧缺学科教师专业参考目录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专业大类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相近相关专业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中文类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汉语言文学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汉语言、汉语国际教育、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语言学及应用语言学、汉语言文字学、中国古典文献学、中国古代文学、中国现当代文学、学科教学（语文）、课程与教学论（语文）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英语类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英语、商务英语、英语语言文学、学科教学（英语）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生物科学、生物技术、生物信息学、生态学、植物学、动物学、生理学、微生物学、遗传学、细胞生物学、生态学、学科教学（生物）、课程与教学论（生物）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地理类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地理科学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自然地理与资源环境、人文地理与城乡规划、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自然地理学、人文地理学、地图学与地理信息系统、环境地理学、学科教学（地理）、课程与教学论（地理）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政治类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政治学与行政学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国际政治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外交学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思想政治教育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国际政治经济学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国际事务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政治学理论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中外政治制度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科学社会主义与国际共产主义运动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中共党史（含：党的学说与党的建设）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国际政治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国际关系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外交学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物理类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物理学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应用物理学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核物理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声学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理论物理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粒子物理与原子核物理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原子与分子物理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等离子体物理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凝聚态物理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声学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光学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 xml:space="preserve">无线电物理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历史类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历史学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世界史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考古学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文物与博物馆学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史学理论及史学史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考古学及博物馆学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历史地理学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历史文献学（含∶敦煌学、古文字学）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专门史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中国古代史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 xml:space="preserve"> 中国近现代史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世界史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36095"/>
    <w:rsid w:val="5FC3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2020-12-07T08:05:00Z</dcterms:created>
  <dc:creator>Mac</dc:creator>
  <cp:lastModifiedBy>Mac</cp:lastModifiedBy>
  <dcterms:modified xsi:type="dcterms:W3CDTF">2020-12-07T08:05:21Z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